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F3D" w:rsidRDefault="00457F3D" w:rsidP="00457F3D">
      <w:pPr>
        <w:shd w:val="clear" w:color="auto" w:fill="FFFFFF"/>
        <w:spacing w:before="100" w:beforeAutospacing="1" w:after="48" w:line="360" w:lineRule="atLeast"/>
        <w:rPr>
          <w:rFonts w:ascii="Georgia" w:eastAsia="Times New Roman" w:hAnsi="Georgia" w:cs="Times New Roman"/>
          <w:color w:val="333333"/>
          <w:sz w:val="21"/>
          <w:szCs w:val="21"/>
        </w:rPr>
      </w:pPr>
      <w:r>
        <w:rPr>
          <w:rFonts w:ascii="Georgia" w:eastAsia="Times New Roman" w:hAnsi="Georgia" w:cs="Times New Roman"/>
          <w:color w:val="333333"/>
          <w:sz w:val="21"/>
          <w:szCs w:val="21"/>
        </w:rPr>
        <w:t>N</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me: ___________________________________</w:t>
      </w:r>
      <w:proofErr w:type="gramStart"/>
      <w:r>
        <w:rPr>
          <w:rFonts w:ascii="Georgia" w:eastAsia="Times New Roman" w:hAnsi="Georgia" w:cs="Times New Roman"/>
          <w:color w:val="333333"/>
          <w:sz w:val="21"/>
          <w:szCs w:val="21"/>
        </w:rPr>
        <w:t>_  D</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te</w:t>
      </w:r>
      <w:proofErr w:type="gramEnd"/>
      <w:r>
        <w:rPr>
          <w:rFonts w:ascii="Georgia" w:eastAsia="Times New Roman" w:hAnsi="Georgia" w:cs="Times New Roman"/>
          <w:color w:val="333333"/>
          <w:sz w:val="21"/>
          <w:szCs w:val="21"/>
        </w:rPr>
        <w:t>: _____________________________</w:t>
      </w:r>
    </w:p>
    <w:p w:rsidR="00457F3D" w:rsidRDefault="00457F3D" w:rsidP="00457F3D">
      <w:pPr>
        <w:shd w:val="clear" w:color="auto" w:fill="FFFFFF"/>
        <w:spacing w:before="100" w:beforeAutospacing="1" w:after="48" w:line="360" w:lineRule="atLeast"/>
        <w:rPr>
          <w:rFonts w:ascii="Georgia" w:eastAsia="Times New Roman" w:hAnsi="Georgia" w:cs="Times New Roman"/>
          <w:color w:val="333333"/>
          <w:sz w:val="21"/>
          <w:szCs w:val="21"/>
        </w:rPr>
      </w:pPr>
      <w:r w:rsidRPr="00457F3D">
        <w:rPr>
          <w:rFonts w:ascii="Georgia" w:eastAsia="Times New Roman" w:hAnsi="Georgia" w:cs="Times New Roman"/>
          <w:b/>
          <w:color w:val="333333"/>
          <w:sz w:val="21"/>
          <w:szCs w:val="21"/>
        </w:rPr>
        <w:t>DIRECTIONS</w:t>
      </w:r>
      <w:r>
        <w:rPr>
          <w:rFonts w:ascii="Georgia" w:eastAsia="Times New Roman" w:hAnsi="Georgia" w:cs="Times New Roman"/>
          <w:color w:val="333333"/>
          <w:sz w:val="21"/>
          <w:szCs w:val="21"/>
        </w:rPr>
        <w:t>: In order to better underst</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 xml:space="preserve">nd “Don’t </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sk, Don’t tell” we need to he</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 xml:space="preserve">r </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rguments from top government offici</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ls on the issue.  Re</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d the questions below to prep</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re for re</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 xml:space="preserve">ding the </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rticle. Then, re</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 xml:space="preserve">d the </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rticle below with the cl</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ss.  Fin</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 xml:space="preserve">lly, </w:t>
      </w:r>
      <w:r w:rsidRPr="009026BD">
        <w:rPr>
          <w:rFonts w:ascii="Georgia" w:eastAsia="Times New Roman" w:hAnsi="Georgia" w:cs="Times New Roman"/>
          <w:color w:val="333333"/>
          <w:sz w:val="21"/>
          <w:szCs w:val="21"/>
        </w:rPr>
        <w:t>a</w:t>
      </w:r>
      <w:r>
        <w:rPr>
          <w:rFonts w:ascii="Georgia" w:eastAsia="Times New Roman" w:hAnsi="Georgia" w:cs="Times New Roman"/>
          <w:color w:val="333333"/>
          <w:sz w:val="21"/>
          <w:szCs w:val="21"/>
        </w:rPr>
        <w:t>nswer the questions.</w:t>
      </w:r>
    </w:p>
    <w:p w:rsidR="00457F3D" w:rsidRDefault="00457F3D" w:rsidP="00457F3D">
      <w:pPr>
        <w:numPr>
          <w:ilvl w:val="0"/>
          <w:numId w:val="1"/>
        </w:numPr>
        <w:shd w:val="clear" w:color="auto" w:fill="FFFFFF"/>
        <w:spacing w:before="100" w:beforeAutospacing="1" w:after="48" w:line="360" w:lineRule="atLeast"/>
        <w:ind w:left="624"/>
        <w:rPr>
          <w:rFonts w:ascii="Georgia" w:eastAsia="Times New Roman" w:hAnsi="Georgia" w:cs="Times New Roman"/>
          <w:color w:val="333333"/>
          <w:sz w:val="21"/>
          <w:szCs w:val="21"/>
        </w:rPr>
      </w:pPr>
      <w:r w:rsidRPr="009026BD">
        <w:rPr>
          <w:rFonts w:ascii="Georgia" w:eastAsia="Times New Roman" w:hAnsi="Georgia" w:cs="Times New Roman"/>
          <w:color w:val="333333"/>
          <w:sz w:val="21"/>
          <w:szCs w:val="21"/>
        </w:rPr>
        <w:t>Who are the opponents of the “don’t ask, don’t tell” policy that are quoted in the article? Why do opponents believe that the policy should be repealed?</w:t>
      </w:r>
    </w:p>
    <w:p w:rsidR="00457F3D" w:rsidRPr="009026BD" w:rsidRDefault="00457F3D" w:rsidP="00457F3D">
      <w:pPr>
        <w:shd w:val="clear" w:color="auto" w:fill="FFFFFF"/>
        <w:spacing w:before="100" w:beforeAutospacing="1" w:after="48" w:line="360" w:lineRule="atLeast"/>
        <w:ind w:left="624"/>
        <w:rPr>
          <w:rFonts w:ascii="Georgia" w:eastAsia="Times New Roman" w:hAnsi="Georgia" w:cs="Times New Roman"/>
          <w:color w:val="333333"/>
          <w:sz w:val="21"/>
          <w:szCs w:val="21"/>
        </w:rPr>
      </w:pPr>
    </w:p>
    <w:p w:rsidR="00457F3D" w:rsidRDefault="00457F3D" w:rsidP="00457F3D">
      <w:pPr>
        <w:numPr>
          <w:ilvl w:val="0"/>
          <w:numId w:val="1"/>
        </w:numPr>
        <w:shd w:val="clear" w:color="auto" w:fill="FFFFFF"/>
        <w:spacing w:before="100" w:beforeAutospacing="1" w:after="48" w:line="360" w:lineRule="atLeast"/>
        <w:ind w:left="624"/>
        <w:rPr>
          <w:rFonts w:ascii="Georgia" w:eastAsia="Times New Roman" w:hAnsi="Georgia" w:cs="Times New Roman"/>
          <w:color w:val="333333"/>
          <w:sz w:val="21"/>
          <w:szCs w:val="21"/>
        </w:rPr>
      </w:pPr>
      <w:r w:rsidRPr="009026BD">
        <w:rPr>
          <w:rFonts w:ascii="Georgia" w:eastAsia="Times New Roman" w:hAnsi="Georgia" w:cs="Times New Roman"/>
          <w:color w:val="333333"/>
          <w:sz w:val="21"/>
          <w:szCs w:val="21"/>
        </w:rPr>
        <w:t>Who are the supporters of the “don’t ask, don’t tell” policy that are quoted in the article? Why do they believe that the policy should not be repealed?</w:t>
      </w:r>
    </w:p>
    <w:p w:rsidR="00457F3D" w:rsidRDefault="00457F3D" w:rsidP="00457F3D">
      <w:pPr>
        <w:pStyle w:val="ListParagraph"/>
        <w:rPr>
          <w:rFonts w:ascii="Georgia" w:eastAsia="Times New Roman" w:hAnsi="Georgia" w:cs="Times New Roman"/>
          <w:color w:val="333333"/>
          <w:sz w:val="21"/>
          <w:szCs w:val="21"/>
        </w:rPr>
      </w:pPr>
    </w:p>
    <w:p w:rsidR="00457F3D" w:rsidRPr="009026BD" w:rsidRDefault="00457F3D" w:rsidP="00457F3D">
      <w:pPr>
        <w:shd w:val="clear" w:color="auto" w:fill="FFFFFF"/>
        <w:spacing w:before="100" w:beforeAutospacing="1" w:after="48" w:line="360" w:lineRule="atLeast"/>
        <w:ind w:left="624"/>
        <w:rPr>
          <w:rFonts w:ascii="Georgia" w:eastAsia="Times New Roman" w:hAnsi="Georgia" w:cs="Times New Roman"/>
          <w:color w:val="333333"/>
          <w:sz w:val="21"/>
          <w:szCs w:val="21"/>
        </w:rPr>
      </w:pPr>
    </w:p>
    <w:p w:rsidR="00457F3D" w:rsidRDefault="00457F3D" w:rsidP="00457F3D">
      <w:pPr>
        <w:numPr>
          <w:ilvl w:val="0"/>
          <w:numId w:val="1"/>
        </w:numPr>
        <w:shd w:val="clear" w:color="auto" w:fill="FFFFFF"/>
        <w:spacing w:before="100" w:beforeAutospacing="1" w:after="48" w:line="360" w:lineRule="atLeast"/>
        <w:ind w:left="624"/>
        <w:rPr>
          <w:rFonts w:ascii="Georgia" w:eastAsia="Times New Roman" w:hAnsi="Georgia" w:cs="Times New Roman"/>
          <w:color w:val="333333"/>
          <w:sz w:val="21"/>
          <w:szCs w:val="21"/>
        </w:rPr>
      </w:pPr>
      <w:r w:rsidRPr="009026BD">
        <w:rPr>
          <w:rFonts w:ascii="Georgia" w:eastAsia="Times New Roman" w:hAnsi="Georgia" w:cs="Times New Roman"/>
          <w:color w:val="333333"/>
          <w:sz w:val="21"/>
          <w:szCs w:val="21"/>
        </w:rPr>
        <w:t>What further information would you want to know about the “don’t ask, don’t tell” policy?</w:t>
      </w:r>
    </w:p>
    <w:p w:rsidR="00457F3D" w:rsidRPr="009026BD" w:rsidRDefault="00457F3D" w:rsidP="00457F3D">
      <w:pPr>
        <w:shd w:val="clear" w:color="auto" w:fill="FFFFFF"/>
        <w:spacing w:before="100" w:beforeAutospacing="1" w:after="48" w:line="360" w:lineRule="atLeast"/>
        <w:ind w:left="624"/>
        <w:rPr>
          <w:rFonts w:ascii="Georgia" w:eastAsia="Times New Roman" w:hAnsi="Georgia" w:cs="Times New Roman"/>
          <w:color w:val="333333"/>
          <w:sz w:val="21"/>
          <w:szCs w:val="21"/>
        </w:rPr>
      </w:pPr>
    </w:p>
    <w:p w:rsidR="00457F3D" w:rsidRPr="009026BD" w:rsidRDefault="00457F3D" w:rsidP="00457F3D">
      <w:pPr>
        <w:numPr>
          <w:ilvl w:val="0"/>
          <w:numId w:val="1"/>
        </w:numPr>
        <w:shd w:val="clear" w:color="auto" w:fill="FFFFFF"/>
        <w:spacing w:before="100" w:beforeAutospacing="1" w:after="0" w:line="360" w:lineRule="atLeast"/>
        <w:ind w:left="624"/>
        <w:rPr>
          <w:rFonts w:ascii="Georgia" w:eastAsia="Times New Roman" w:hAnsi="Georgia" w:cs="Times New Roman"/>
          <w:color w:val="333333"/>
          <w:sz w:val="21"/>
          <w:szCs w:val="21"/>
        </w:rPr>
      </w:pPr>
      <w:r w:rsidRPr="009026BD">
        <w:rPr>
          <w:rFonts w:ascii="Georgia" w:eastAsia="Times New Roman" w:hAnsi="Georgia" w:cs="Times New Roman"/>
          <w:color w:val="333333"/>
          <w:sz w:val="21"/>
          <w:szCs w:val="21"/>
        </w:rPr>
        <w:t>At this point, do you think the “don’t ask, don’t tell” policy should be repealed? Why or why not?</w:t>
      </w:r>
    </w:p>
    <w:p w:rsidR="00457F3D" w:rsidRDefault="00457F3D" w:rsidP="00457F3D">
      <w:pPr>
        <w:shd w:val="clear" w:color="auto" w:fill="FFFFFF"/>
        <w:spacing w:before="45" w:after="100" w:afterAutospacing="1" w:line="240" w:lineRule="auto"/>
        <w:outlineLvl w:val="0"/>
        <w:rPr>
          <w:rFonts w:ascii="Georgia" w:eastAsia="Times New Roman" w:hAnsi="Georgia" w:cs="Times New Roman"/>
          <w:b/>
          <w:bCs/>
          <w:color w:val="000000"/>
          <w:kern w:val="36"/>
          <w:sz w:val="36"/>
          <w:szCs w:val="36"/>
        </w:rPr>
      </w:pPr>
    </w:p>
    <w:p w:rsidR="00457F3D" w:rsidRPr="00457F3D" w:rsidRDefault="00457F3D" w:rsidP="00457F3D">
      <w:pPr>
        <w:shd w:val="clear" w:color="auto" w:fill="FFFFFF"/>
        <w:spacing w:before="45" w:after="100" w:afterAutospacing="1" w:line="240" w:lineRule="auto"/>
        <w:outlineLvl w:val="0"/>
        <w:rPr>
          <w:rFonts w:ascii="Georgia" w:eastAsia="Times New Roman" w:hAnsi="Georgia" w:cs="Times New Roman"/>
          <w:b/>
          <w:bCs/>
          <w:color w:val="000000"/>
          <w:kern w:val="36"/>
          <w:sz w:val="36"/>
          <w:szCs w:val="36"/>
        </w:rPr>
      </w:pPr>
      <w:r w:rsidRPr="00457F3D">
        <w:rPr>
          <w:rFonts w:ascii="Georgia" w:eastAsia="Times New Roman" w:hAnsi="Georgia" w:cs="Times New Roman"/>
          <w:b/>
          <w:bCs/>
          <w:color w:val="000000"/>
          <w:kern w:val="36"/>
          <w:sz w:val="36"/>
          <w:szCs w:val="36"/>
        </w:rPr>
        <w:t>Top Defense Officials Seek to End ‘Don’t Ask, Don’t Tell’</w:t>
      </w:r>
    </w:p>
    <w:p w:rsidR="00457F3D" w:rsidRPr="00457F3D" w:rsidRDefault="00457F3D" w:rsidP="00457F3D">
      <w:pPr>
        <w:spacing w:after="0" w:line="240" w:lineRule="auto"/>
        <w:rPr>
          <w:rFonts w:ascii="Times New Roman" w:eastAsia="Times New Roman" w:hAnsi="Times New Roman" w:cs="Times New Roman"/>
          <w:b/>
          <w:bCs/>
          <w:sz w:val="20"/>
          <w:szCs w:val="20"/>
        </w:rPr>
      </w:pPr>
      <w:r w:rsidRPr="00457F3D">
        <w:rPr>
          <w:rFonts w:ascii="Times New Roman" w:eastAsia="Times New Roman" w:hAnsi="Times New Roman" w:cs="Times New Roman"/>
          <w:b/>
          <w:bCs/>
          <w:sz w:val="20"/>
          <w:szCs w:val="20"/>
        </w:rPr>
        <w:t>By</w:t>
      </w:r>
      <w:r w:rsidRPr="00457F3D">
        <w:rPr>
          <w:rFonts w:ascii="Times New Roman" w:eastAsia="Times New Roman" w:hAnsi="Times New Roman" w:cs="Times New Roman"/>
          <w:b/>
          <w:bCs/>
          <w:sz w:val="20"/>
        </w:rPr>
        <w:t> </w:t>
      </w:r>
      <w:hyperlink r:id="rId5" w:tooltip="More Articles by Elisabeth Bumiller" w:history="1">
        <w:r w:rsidRPr="00457F3D">
          <w:rPr>
            <w:rFonts w:ascii="Times New Roman" w:eastAsia="Times New Roman" w:hAnsi="Times New Roman" w:cs="Times New Roman"/>
            <w:b/>
            <w:bCs/>
            <w:color w:val="000066"/>
            <w:sz w:val="20"/>
            <w:u w:val="single"/>
          </w:rPr>
          <w:t>ELISABETH BUMILLER</w:t>
        </w:r>
      </w:hyperlink>
      <w:r>
        <w:rPr>
          <w:rFonts w:ascii="Times New Roman" w:eastAsia="Times New Roman" w:hAnsi="Times New Roman" w:cs="Times New Roman"/>
          <w:b/>
          <w:bCs/>
          <w:sz w:val="20"/>
          <w:szCs w:val="20"/>
        </w:rPr>
        <w:t xml:space="preserve">, </w:t>
      </w:r>
      <w:r>
        <w:rPr>
          <w:rStyle w:val="apple-style-span"/>
          <w:rFonts w:ascii="Georgia" w:hAnsi="Georgia"/>
          <w:b/>
          <w:bCs/>
          <w:color w:val="000000"/>
          <w:sz w:val="20"/>
          <w:szCs w:val="20"/>
          <w:shd w:val="clear" w:color="auto" w:fill="FFFFFF"/>
        </w:rPr>
        <w:t>February 3, 2010</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WASHINGTON — The nation’s top two defense officials called Tuesday for an end to the 16-year-old “don’t ask, don’t tell” law, a major step toward allowing openly gay men and women to serve in the United States military for the first time.</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“No matter how I look at the issue, I cannot escape being troubled by the fact that we have in place a policy which forces young men and women to lie about who they are in order to defend their fellow citizens,” Adm. </w:t>
      </w:r>
      <w:hyperlink r:id="rId6" w:tooltip="http://topics.nytimes.com/top/reference/timestopics/people/m/michael_g_mullen/index.html?inline=nyt-perMore articles about Michael G. Mullen." w:history="1">
        <w:r w:rsidRPr="00457F3D">
          <w:rPr>
            <w:rFonts w:ascii="Times New Roman" w:eastAsia="Times New Roman" w:hAnsi="Times New Roman" w:cs="Times New Roman"/>
            <w:color w:val="000066"/>
            <w:sz w:val="24"/>
            <w:szCs w:val="24"/>
            <w:u w:val="single"/>
          </w:rPr>
          <w:t>Mike Mullen</w:t>
        </w:r>
      </w:hyperlink>
      <w:r w:rsidRPr="00457F3D">
        <w:rPr>
          <w:rFonts w:ascii="Times New Roman" w:eastAsia="Times New Roman" w:hAnsi="Times New Roman" w:cs="Times New Roman"/>
          <w:color w:val="000000"/>
          <w:sz w:val="24"/>
          <w:szCs w:val="24"/>
        </w:rPr>
        <w:t>, the chairman of the </w:t>
      </w:r>
      <w:hyperlink r:id="rId7" w:tooltip="http://topics.nytimes.com/top/reference/timestopics/organizations/j/joint_chiefs_of_staff/index.html?inline=nyt-orgMore articles about Joint Chiefs of Staff" w:history="1">
        <w:r w:rsidRPr="00457F3D">
          <w:rPr>
            <w:rFonts w:ascii="Times New Roman" w:eastAsia="Times New Roman" w:hAnsi="Times New Roman" w:cs="Times New Roman"/>
            <w:color w:val="000066"/>
            <w:sz w:val="24"/>
            <w:szCs w:val="24"/>
            <w:u w:val="single"/>
          </w:rPr>
          <w:t>Joint Chiefs of Staff</w:t>
        </w:r>
      </w:hyperlink>
      <w:r w:rsidRPr="00457F3D">
        <w:rPr>
          <w:rFonts w:ascii="Times New Roman" w:eastAsia="Times New Roman" w:hAnsi="Times New Roman" w:cs="Times New Roman"/>
          <w:color w:val="000000"/>
          <w:sz w:val="24"/>
          <w:szCs w:val="24"/>
        </w:rPr>
        <w:t>, told the Senate Armed Services Committee.</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As a murmur swept through a hearing room packed with gay rights leaders, Admiral Mullen said it was his personal belief that “allowing gays and lesbians to serve openly would be the right thing to do.”</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In 1993, Gen. </w:t>
      </w:r>
      <w:hyperlink r:id="rId8" w:tooltip="http://topics.nytimes.com/top/reference/timestopics/people/p/colin_l_powell/index.html?inline=nyt-perMore articles about Colin L. Powell." w:history="1">
        <w:r w:rsidRPr="00457F3D">
          <w:rPr>
            <w:rFonts w:ascii="Times New Roman" w:eastAsia="Times New Roman" w:hAnsi="Times New Roman" w:cs="Times New Roman"/>
            <w:color w:val="000066"/>
            <w:sz w:val="24"/>
            <w:szCs w:val="24"/>
            <w:u w:val="single"/>
          </w:rPr>
          <w:t>Colin L. Powell</w:t>
        </w:r>
      </w:hyperlink>
      <w:r w:rsidRPr="00457F3D">
        <w:rPr>
          <w:rFonts w:ascii="Times New Roman" w:eastAsia="Times New Roman" w:hAnsi="Times New Roman" w:cs="Times New Roman"/>
          <w:color w:val="000000"/>
          <w:sz w:val="24"/>
          <w:szCs w:val="24"/>
        </w:rPr>
        <w:t>, the chairman of the Joint Chiefs at the time, opposed allowing gay men and lesbians to serve openly but supported a compromise, which was the “don’t ask, don’t tell” bill passed by Congress. Under the policy, gay men and lesbians may serve as long as they keep their sexual orientation secret.</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lastRenderedPageBreak/>
        <w:t>In contrast to Admiral Mullen, Defense Secretary </w:t>
      </w:r>
      <w:hyperlink r:id="rId9" w:tooltip="More articles about Robert M. Gates." w:history="1">
        <w:r w:rsidRPr="00457F3D">
          <w:rPr>
            <w:rFonts w:ascii="Times New Roman" w:eastAsia="Times New Roman" w:hAnsi="Times New Roman" w:cs="Times New Roman"/>
            <w:color w:val="000066"/>
            <w:sz w:val="24"/>
            <w:szCs w:val="24"/>
            <w:u w:val="single"/>
          </w:rPr>
          <w:t>Robert M. Gates</w:t>
        </w:r>
      </w:hyperlink>
      <w:r w:rsidRPr="00457F3D">
        <w:rPr>
          <w:rFonts w:ascii="Times New Roman" w:eastAsia="Times New Roman" w:hAnsi="Times New Roman" w:cs="Times New Roman"/>
          <w:color w:val="000000"/>
          <w:sz w:val="24"/>
          <w:szCs w:val="24"/>
        </w:rPr>
        <w:t xml:space="preserve"> was more cautious, even as he acknowledged that the question was not whether the law would be repealed but how the Pentagon might best prepare for the change. </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proofErr w:type="spellStart"/>
      <w:r w:rsidRPr="00457F3D">
        <w:rPr>
          <w:rFonts w:ascii="Times New Roman" w:eastAsia="Times New Roman" w:hAnsi="Times New Roman" w:cs="Times New Roman"/>
          <w:color w:val="000000"/>
          <w:sz w:val="24"/>
          <w:szCs w:val="24"/>
        </w:rPr>
        <w:t>Senator</w:t>
      </w:r>
      <w:hyperlink r:id="rId10" w:tooltip="More articles about John McCain." w:history="1">
        <w:r w:rsidRPr="00457F3D">
          <w:rPr>
            <w:rFonts w:ascii="Times New Roman" w:eastAsia="Times New Roman" w:hAnsi="Times New Roman" w:cs="Times New Roman"/>
            <w:color w:val="000066"/>
            <w:sz w:val="24"/>
            <w:szCs w:val="24"/>
            <w:u w:val="single"/>
          </w:rPr>
          <w:t>John</w:t>
        </w:r>
        <w:proofErr w:type="spellEnd"/>
        <w:r w:rsidRPr="00457F3D">
          <w:rPr>
            <w:rFonts w:ascii="Times New Roman" w:eastAsia="Times New Roman" w:hAnsi="Times New Roman" w:cs="Times New Roman"/>
            <w:color w:val="000066"/>
            <w:sz w:val="24"/>
            <w:szCs w:val="24"/>
            <w:u w:val="single"/>
          </w:rPr>
          <w:t xml:space="preserve"> McCain</w:t>
        </w:r>
      </w:hyperlink>
      <w:r w:rsidRPr="00457F3D">
        <w:rPr>
          <w:rFonts w:ascii="Times New Roman" w:eastAsia="Times New Roman" w:hAnsi="Times New Roman" w:cs="Times New Roman"/>
          <w:color w:val="000000"/>
          <w:sz w:val="24"/>
          <w:szCs w:val="24"/>
        </w:rPr>
        <w:t> of Arizona, said that while the law was not perfect, its repeal was too much to ask of a military that is already under stress fighting two wars</w:t>
      </w:r>
      <w:r>
        <w:rPr>
          <w:rFonts w:ascii="Times New Roman" w:eastAsia="Times New Roman" w:hAnsi="Times New Roman" w:cs="Times New Roman"/>
          <w:color w:val="000000"/>
          <w:sz w:val="24"/>
          <w:szCs w:val="24"/>
        </w:rPr>
        <w:t>.  He s</w:t>
      </w:r>
      <w:r w:rsidRPr="00457F3D">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id,</w:t>
      </w:r>
      <w:r w:rsidRPr="00457F3D">
        <w:rPr>
          <w:rFonts w:ascii="Times New Roman" w:eastAsia="Times New Roman" w:hAnsi="Times New Roman" w:cs="Times New Roman"/>
          <w:color w:val="000000"/>
          <w:sz w:val="24"/>
          <w:szCs w:val="24"/>
        </w:rPr>
        <w:t xml:space="preserve"> “The day that the leadership of the military comes to me and says, ‘Senator, we ought to change the policy,’ then I think we ought to</w:t>
      </w:r>
      <w:r>
        <w:rPr>
          <w:rFonts w:ascii="Times New Roman" w:eastAsia="Times New Roman" w:hAnsi="Times New Roman" w:cs="Times New Roman"/>
          <w:color w:val="000000"/>
          <w:sz w:val="24"/>
          <w:szCs w:val="24"/>
        </w:rPr>
        <w:t xml:space="preserve"> consider seriously changing it.”</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In the interim, Mr. Gates announced that the military was moving toward enforcing the existing policy “in a fairer manner” — a reference to the possibility that the Pentagon would no longer take action to discharge service members whose sexual orientation is revealed by third parties or jilted partners, one of the most onerous aspects of the law.</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Mr. Gates said that he had asked the Pentagon to make a recommendation on the matter within 45 days, but that “we believe that we have a degree of latitude within the existing law to change our internal procedures in a manner that is more appropriate and fair to our men and women in uniform.”</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 xml:space="preserve">Mr. Levin said he was considering introducing an amendment to this year’s defense authorization bill that would call for a moratorium </w:t>
      </w:r>
      <w:r>
        <w:rPr>
          <w:rFonts w:ascii="Times New Roman" w:eastAsia="Times New Roman" w:hAnsi="Times New Roman" w:cs="Times New Roman"/>
          <w:color w:val="000000"/>
          <w:sz w:val="24"/>
          <w:szCs w:val="24"/>
        </w:rPr>
        <w:t xml:space="preserve">(freeze) </w:t>
      </w:r>
      <w:r w:rsidRPr="00457F3D">
        <w:rPr>
          <w:rFonts w:ascii="Times New Roman" w:eastAsia="Times New Roman" w:hAnsi="Times New Roman" w:cs="Times New Roman"/>
          <w:color w:val="000000"/>
          <w:sz w:val="24"/>
          <w:szCs w:val="24"/>
        </w:rPr>
        <w:t>on discharges under the existing law.</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Mr. Gates said the review would examine changes that might have to be made to Pentagon policies on benefits, base housing, fraternization and misconduct, and would also study the potential effect on unit cohesion, recruiting and retention.</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For further information, Mr. Gates said he would ask the RAND Corporation to update a 1993 study on the effects of allowing openly gay men and lesbians to serve. That study concluded they could do so if the policy was given strong support from the military’s senior leaders.</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On one thing, Mr. Gates, Admiral Mullen and Republicans on the committee agreed: many gay men and lesbians are serving honorably and effectively in the military today, despite a policy that has led to more than 13,000 discharges, including those of much-needed Arabic translators.</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“I have served with homosexuals since 1968,” Admiral Mullen told the committee. He added, “Everybody in the military has, and we understand that.”</w:t>
      </w:r>
    </w:p>
    <w:p w:rsidR="00457F3D"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Gay rights groups embraced the comments from Admiral Mullen and Mr. Gates, even as they criticized the Pentagon review as moving too slowly.</w:t>
      </w:r>
    </w:p>
    <w:p w:rsidR="00006B77" w:rsidRPr="00457F3D" w:rsidRDefault="00457F3D" w:rsidP="00457F3D">
      <w:pPr>
        <w:spacing w:before="100" w:beforeAutospacing="1" w:after="100" w:afterAutospacing="1" w:line="360" w:lineRule="atLeast"/>
        <w:rPr>
          <w:rFonts w:ascii="Times New Roman" w:eastAsia="Times New Roman" w:hAnsi="Times New Roman" w:cs="Times New Roman"/>
          <w:color w:val="000000"/>
          <w:sz w:val="24"/>
          <w:szCs w:val="24"/>
        </w:rPr>
      </w:pPr>
      <w:r w:rsidRPr="00457F3D">
        <w:rPr>
          <w:rFonts w:ascii="Times New Roman" w:eastAsia="Times New Roman" w:hAnsi="Times New Roman" w:cs="Times New Roman"/>
          <w:color w:val="000000"/>
          <w:sz w:val="24"/>
          <w:szCs w:val="24"/>
        </w:rPr>
        <w:t>Polls now show that a majority of Americans support openly gay service — a majority did not in 1993 — but there have been no recent, broad surveys of the 1.4 million active-duty personnel.</w:t>
      </w:r>
    </w:p>
    <w:sectPr w:rsidR="00006B77" w:rsidRPr="00457F3D" w:rsidSect="00457F3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BEC"/>
    <w:multiLevelType w:val="multilevel"/>
    <w:tmpl w:val="08D668EA"/>
    <w:lvl w:ilvl="0">
      <w:start w:val="1"/>
      <w:numFmt w:val="decimal"/>
      <w:lvlText w:val="%1."/>
      <w:lvlJc w:val="left"/>
      <w:pPr>
        <w:tabs>
          <w:tab w:val="num" w:pos="-336"/>
        </w:tabs>
        <w:ind w:left="-336" w:hanging="360"/>
      </w:pPr>
    </w:lvl>
    <w:lvl w:ilvl="1" w:tentative="1">
      <w:start w:val="1"/>
      <w:numFmt w:val="decimal"/>
      <w:lvlText w:val="%2."/>
      <w:lvlJc w:val="left"/>
      <w:pPr>
        <w:tabs>
          <w:tab w:val="num" w:pos="384"/>
        </w:tabs>
        <w:ind w:left="384" w:hanging="360"/>
      </w:pPr>
    </w:lvl>
    <w:lvl w:ilvl="2" w:tentative="1">
      <w:start w:val="1"/>
      <w:numFmt w:val="decimal"/>
      <w:lvlText w:val="%3."/>
      <w:lvlJc w:val="left"/>
      <w:pPr>
        <w:tabs>
          <w:tab w:val="num" w:pos="1104"/>
        </w:tabs>
        <w:ind w:left="1104" w:hanging="360"/>
      </w:pPr>
    </w:lvl>
    <w:lvl w:ilvl="3" w:tentative="1">
      <w:start w:val="1"/>
      <w:numFmt w:val="decimal"/>
      <w:lvlText w:val="%4."/>
      <w:lvlJc w:val="left"/>
      <w:pPr>
        <w:tabs>
          <w:tab w:val="num" w:pos="1824"/>
        </w:tabs>
        <w:ind w:left="1824" w:hanging="360"/>
      </w:pPr>
    </w:lvl>
    <w:lvl w:ilvl="4" w:tentative="1">
      <w:start w:val="1"/>
      <w:numFmt w:val="decimal"/>
      <w:lvlText w:val="%5."/>
      <w:lvlJc w:val="left"/>
      <w:pPr>
        <w:tabs>
          <w:tab w:val="num" w:pos="2544"/>
        </w:tabs>
        <w:ind w:left="2544" w:hanging="360"/>
      </w:pPr>
    </w:lvl>
    <w:lvl w:ilvl="5" w:tentative="1">
      <w:start w:val="1"/>
      <w:numFmt w:val="decimal"/>
      <w:lvlText w:val="%6."/>
      <w:lvlJc w:val="left"/>
      <w:pPr>
        <w:tabs>
          <w:tab w:val="num" w:pos="3264"/>
        </w:tabs>
        <w:ind w:left="3264" w:hanging="360"/>
      </w:pPr>
    </w:lvl>
    <w:lvl w:ilvl="6" w:tentative="1">
      <w:start w:val="1"/>
      <w:numFmt w:val="decimal"/>
      <w:lvlText w:val="%7."/>
      <w:lvlJc w:val="left"/>
      <w:pPr>
        <w:tabs>
          <w:tab w:val="num" w:pos="3984"/>
        </w:tabs>
        <w:ind w:left="3984" w:hanging="360"/>
      </w:pPr>
    </w:lvl>
    <w:lvl w:ilvl="7" w:tentative="1">
      <w:start w:val="1"/>
      <w:numFmt w:val="decimal"/>
      <w:lvlText w:val="%8."/>
      <w:lvlJc w:val="left"/>
      <w:pPr>
        <w:tabs>
          <w:tab w:val="num" w:pos="4704"/>
        </w:tabs>
        <w:ind w:left="4704" w:hanging="360"/>
      </w:pPr>
    </w:lvl>
    <w:lvl w:ilvl="8" w:tentative="1">
      <w:start w:val="1"/>
      <w:numFmt w:val="decimal"/>
      <w:lvlText w:val="%9."/>
      <w:lvlJc w:val="left"/>
      <w:pPr>
        <w:tabs>
          <w:tab w:val="num" w:pos="5424"/>
        </w:tabs>
        <w:ind w:left="5424"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57F3D"/>
    <w:rsid w:val="00006B77"/>
    <w:rsid w:val="000D0F81"/>
    <w:rsid w:val="003B496D"/>
    <w:rsid w:val="00457F3D"/>
    <w:rsid w:val="00487631"/>
    <w:rsid w:val="007B2ABE"/>
    <w:rsid w:val="008B339A"/>
    <w:rsid w:val="00901B95"/>
    <w:rsid w:val="00B241A6"/>
    <w:rsid w:val="00C75AD5"/>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F3D"/>
  </w:style>
  <w:style w:type="paragraph" w:styleId="Heading1">
    <w:name w:val="heading 1"/>
    <w:basedOn w:val="Normal"/>
    <w:link w:val="Heading1Char"/>
    <w:uiPriority w:val="9"/>
    <w:qFormat/>
    <w:rsid w:val="00457F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F3D"/>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457F3D"/>
  </w:style>
  <w:style w:type="character" w:styleId="Hyperlink">
    <w:name w:val="Hyperlink"/>
    <w:basedOn w:val="DefaultParagraphFont"/>
    <w:uiPriority w:val="99"/>
    <w:semiHidden/>
    <w:unhideWhenUsed/>
    <w:rsid w:val="00457F3D"/>
    <w:rPr>
      <w:color w:val="0000FF"/>
      <w:u w:val="single"/>
    </w:rPr>
  </w:style>
  <w:style w:type="paragraph" w:styleId="NormalWeb">
    <w:name w:val="Normal (Web)"/>
    <w:basedOn w:val="Normal"/>
    <w:uiPriority w:val="99"/>
    <w:semiHidden/>
    <w:unhideWhenUsed/>
    <w:rsid w:val="00457F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57F3D"/>
  </w:style>
  <w:style w:type="paragraph" w:styleId="ListParagraph">
    <w:name w:val="List Paragraph"/>
    <w:basedOn w:val="Normal"/>
    <w:uiPriority w:val="34"/>
    <w:qFormat/>
    <w:rsid w:val="00457F3D"/>
    <w:pPr>
      <w:ind w:left="720"/>
      <w:contextualSpacing/>
    </w:pPr>
  </w:style>
</w:styles>
</file>

<file path=word/webSettings.xml><?xml version="1.0" encoding="utf-8"?>
<w:webSettings xmlns:r="http://schemas.openxmlformats.org/officeDocument/2006/relationships" xmlns:w="http://schemas.openxmlformats.org/wordprocessingml/2006/main">
  <w:divs>
    <w:div w:id="1477603449">
      <w:bodyDiv w:val="1"/>
      <w:marLeft w:val="0"/>
      <w:marRight w:val="0"/>
      <w:marTop w:val="0"/>
      <w:marBottom w:val="0"/>
      <w:divBdr>
        <w:top w:val="none" w:sz="0" w:space="0" w:color="auto"/>
        <w:left w:val="none" w:sz="0" w:space="0" w:color="auto"/>
        <w:bottom w:val="none" w:sz="0" w:space="0" w:color="auto"/>
        <w:right w:val="none" w:sz="0" w:space="0" w:color="auto"/>
      </w:divBdr>
      <w:divsChild>
        <w:div w:id="1444495943">
          <w:marLeft w:val="0"/>
          <w:marRight w:val="0"/>
          <w:marTop w:val="0"/>
          <w:marBottom w:val="0"/>
          <w:divBdr>
            <w:top w:val="none" w:sz="0" w:space="0" w:color="auto"/>
            <w:left w:val="none" w:sz="0" w:space="0" w:color="auto"/>
            <w:bottom w:val="none" w:sz="0" w:space="0" w:color="auto"/>
            <w:right w:val="none" w:sz="0" w:space="0" w:color="auto"/>
          </w:divBdr>
        </w:div>
        <w:div w:id="1272280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reference/timestopics/people/p/colin_l_powell/index.html?inline=nyt-per" TargetMode="External"/><Relationship Id="rId3" Type="http://schemas.openxmlformats.org/officeDocument/2006/relationships/settings" Target="settings.xml"/><Relationship Id="rId7" Type="http://schemas.openxmlformats.org/officeDocument/2006/relationships/hyperlink" Target="http://topics.nytimes.com/top/reference/timestopics/organizations/j/joint_chiefs_of_staff/index.html?inline=nyt-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pics.nytimes.com/top/reference/timestopics/people/m/michael_g_mullen/index.html?inline=nyt-per" TargetMode="External"/><Relationship Id="rId11" Type="http://schemas.openxmlformats.org/officeDocument/2006/relationships/fontTable" Target="fontTable.xml"/><Relationship Id="rId5" Type="http://schemas.openxmlformats.org/officeDocument/2006/relationships/hyperlink" Target="http://topics.nytimes.com/top/reference/timestopics/people/b/elisabeth_bumiller/index.html?inline=nyt-per" TargetMode="External"/><Relationship Id="rId10" Type="http://schemas.openxmlformats.org/officeDocument/2006/relationships/hyperlink" Target="http://topics.nytimes.com/top/reference/timestopics/people/m/john_mccain/index.html?inline=nyt-per" TargetMode="External"/><Relationship Id="rId4" Type="http://schemas.openxmlformats.org/officeDocument/2006/relationships/webSettings" Target="webSettings.xml"/><Relationship Id="rId9" Type="http://schemas.openxmlformats.org/officeDocument/2006/relationships/hyperlink" Target="http://topics.nytimes.com/top/reference/timestopics/people/g/robert_m_gates/index.html?inline=nyt-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894</Words>
  <Characters>5102</Characters>
  <Application>Microsoft Office Word</Application>
  <DocSecurity>0</DocSecurity>
  <Lines>42</Lines>
  <Paragraphs>11</Paragraphs>
  <ScaleCrop>false</ScaleCrop>
  <Company>Lenovo</Company>
  <LinksUpToDate>false</LinksUpToDate>
  <CharactersWithSpaces>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2011-11-30T01:52:00Z</dcterms:created>
  <dcterms:modified xsi:type="dcterms:W3CDTF">2011-11-30T02:06:00Z</dcterms:modified>
</cp:coreProperties>
</file>